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D7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6" w:beforeLines="100" w:after="326" w:afterLines="100" w:line="520" w:lineRule="exact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</w:rPr>
      </w:pPr>
      <w:bookmarkStart w:id="0" w:name="heading_9"/>
      <w:r>
        <w:rPr>
          <w:rFonts w:hint="eastAsia" w:ascii="华文中宋" w:hAnsi="华文中宋" w:eastAsia="华文中宋" w:cs="华文中宋"/>
          <w:b/>
          <w:sz w:val="36"/>
          <w:szCs w:val="36"/>
        </w:rPr>
        <w:t>投诉处理程序</w:t>
      </w:r>
    </w:p>
    <w:p w14:paraId="2E47D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2" w:beforeLines="25" w:after="82" w:afterLines="25" w:line="520" w:lineRule="exact"/>
        <w:ind w:lef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bookmarkStart w:id="1" w:name="heading_0"/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1. 目的</w:t>
      </w:r>
      <w:bookmarkEnd w:id="1"/>
    </w:p>
    <w:p w14:paraId="6014D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为规范公司房地产评估、资产评估全业务线投诉管理工作，严格遵守《中华人民共和国资产评估法》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《房地产估价机构管理办法》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《资产评估行业财政监督管理办法》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《土地估价行业监督管理规范》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《房地产估价规范》等国内外法律法规及行业标准，同时全面落实RICS（英国皇家特许测量师学会）Rule 7 投诉处理强制性合规准则，建立公平、透明、独立、高效的两级投诉处置机制。及时妥善处置客户及相关方的不满与诉求，化解执业服务纠纷，防范RICS合规风险、行业监管风险、舆情及执业风险，保障投诉人合法权益，规范全体执业人员从业行为，持续提升服务质量与专业公信力，树立公司合规、严谨、公正的RICS注册机构品牌形象，特制定本程序。</w:t>
      </w:r>
    </w:p>
    <w:p w14:paraId="1F0D8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2" w:beforeLines="25" w:after="82" w:afterLines="25" w:line="520" w:lineRule="exact"/>
        <w:ind w:lef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bookmarkStart w:id="2" w:name="heading_1"/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2. 适用范围</w:t>
      </w:r>
      <w:bookmarkEnd w:id="2"/>
    </w:p>
    <w:p w14:paraId="7D0CC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程序为公司RICS合规核心制度之一，适用于公司所有房地产评估、资产评估业务的投诉受理、登记、调查、处置、反馈、申诉、外部救济、归档复盘全流程管理。覆盖公司全体RICS会员、执业估价师、从业人员及所有业务部门。投诉范围包含服务态度、执业时效、收费合规、保密管理、业务流程、评估报告质量、估值参数、技术规范、执业操守等全部服务与执业相关事项。本程序对所有客户、合作方、监管机构、社会公众公开可查，无条件对外公示。</w:t>
      </w:r>
    </w:p>
    <w:p w14:paraId="7217F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2" w:beforeLines="25" w:after="82" w:afterLines="25" w:line="520" w:lineRule="exact"/>
        <w:ind w:lef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bookmarkStart w:id="3" w:name="heading_2"/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3. 合规依据</w:t>
      </w:r>
      <w:bookmarkEnd w:id="3"/>
    </w:p>
    <w:p w14:paraId="0319E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3.1 国内法律法规、行业强制规范</w:t>
      </w:r>
    </w:p>
    <w:p w14:paraId="3E5B6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《中华人民共和国资产评估法》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《房地产估价机构管理办法》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《资产评估行业财政监督管理办法》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《土地估价行业监督管理规范》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《房地产估价规范》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《资产评估执业准则》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城镇土地估价规程</w:t>
      </w:r>
      <w:r>
        <w:rPr>
          <w:rFonts w:hint="eastAsia" w:ascii="仿宋_GB2312" w:hAnsi="仿宋_GB2312" w:eastAsia="仿宋_GB2312" w:cs="仿宋_GB2312"/>
          <w:sz w:val="28"/>
          <w:szCs w:val="28"/>
        </w:rPr>
        <w:t>》等国家法律法规、部门规章及行业标准，所有投诉处置工作不得与国内法定规范相抵触，法定要求严于行业自律规则的，严格执行国内法定标准。</w:t>
      </w:r>
    </w:p>
    <w:p w14:paraId="15949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3.2 国际自律合规准则</w:t>
      </w:r>
    </w:p>
    <w:p w14:paraId="16A83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严格遵循RICS Firms Rules of Conduct Rule 7（Complaints handling 投诉处理准则）、RICS公平透明争议解决规范、RICS执业伦理与行为规范，全面落实RICS强制要求：书面投诉程序公示、全程台账留痕、两级处置机制、28日最长办结时限、利益冲突回避、独立外部ADR救济渠道、年度合规复盘与持续改进等核心合规条款，全面满足RICS年度合规审查、现场核查标准</w:t>
      </w:r>
      <w:bookmarkStart w:id="20" w:name="_GoBack"/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。所有业务约定书（委托合同）必须载明投诉受理渠道、本投诉处理程序获取方式、外部 ADR 救济途径提示；严禁内部人员劝阻、施压投诉人行使外部 ADR 救济权利。</w:t>
      </w:r>
      <w:bookmarkEnd w:id="20"/>
    </w:p>
    <w:p w14:paraId="19586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2" w:beforeLines="25" w:after="82" w:afterLines="25" w:line="520" w:lineRule="exact"/>
        <w:ind w:lef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bookmarkStart w:id="4" w:name="heading_3"/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4. 投诉定义与分类（RICS标准定义）</w:t>
      </w:r>
      <w:bookmarkEnd w:id="4"/>
    </w:p>
    <w:p w14:paraId="7B037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4.1 RICS标准投诉定义</w:t>
      </w:r>
    </w:p>
    <w:p w14:paraId="6BE6C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任何客户、服务相对方、利益相关方以口头、书面、线上、舆情、监管转办等任意形式，对公司及从业人员提供的房地产评估、资产评估服务表达的任何不满、异议、质疑、诉求及争议，无论情节轻重，均属于投诉范畴，必须全数登记、闭环处置，不得豁免、遗漏。</w:t>
      </w:r>
    </w:p>
    <w:p w14:paraId="100FC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4.2 投诉分级分类</w:t>
      </w:r>
    </w:p>
    <w:p w14:paraId="65172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4.2.1 一般服务类投诉：服务态度、沟通问题、办理时效、流程疏漏等无技术争议、无合规风险的轻微投诉。</w:t>
      </w:r>
    </w:p>
    <w:p w14:paraId="625F4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4.2.2 专业技术类投诉：涉及评估报告估值结果、参数选取、测算逻辑、执业规范、报告合规性等房地产与资产评估专业技术争议。</w:t>
      </w:r>
    </w:p>
    <w:p w14:paraId="34200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4.2.3 重大合规类投诉：涉及执业违规、虚假估值、信息泄露、收费违规、职业道德失范；引发舆情、媒体曝光、客户上访；被RICS、行业主管、财政、市场监管部门督办调查；重复投诉、群体性投诉等重大风险事项。</w:t>
      </w:r>
    </w:p>
    <w:p w14:paraId="0BCB8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2" w:beforeLines="25" w:after="82" w:afterLines="25" w:line="520" w:lineRule="exact"/>
        <w:ind w:lef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bookmarkStart w:id="5" w:name="heading_4"/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5. 核心合规原则</w:t>
      </w:r>
      <w:bookmarkEnd w:id="5"/>
    </w:p>
    <w:p w14:paraId="63C12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5.1 公开透明原则：本投诉程序、受理渠道、处理时限、申诉途径、外部救济方式全程对客户公示，客户可随时查阅。</w:t>
      </w:r>
    </w:p>
    <w:p w14:paraId="5FF40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5.2 公正独立原则：投诉调查与复核人员严格执行利益冲突回避制度，经办项目人员不得参与自身业务投诉的调查、审核与裁定。</w:t>
      </w:r>
    </w:p>
    <w:p w14:paraId="5F139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5.3 及时闭环原则：严格执行RICS标准时限，所有投诉必须按期办结、全程留痕、闭环管理。</w:t>
      </w:r>
    </w:p>
    <w:p w14:paraId="28849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5.4 无歧视原则：对所有投诉人、所有投诉事项平等受理、公正处置，无差别对待。</w:t>
      </w:r>
    </w:p>
    <w:p w14:paraId="013FD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5.5 持续改进原则：定期复盘投诉案例，整改制度漏洞，落实RICS持续合规改进要求。</w:t>
      </w:r>
    </w:p>
    <w:p w14:paraId="60F40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2" w:beforeLines="25" w:after="82" w:afterLines="25" w:line="520" w:lineRule="exact"/>
        <w:ind w:lef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bookmarkStart w:id="6" w:name="heading_5"/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6. 职责分工</w:t>
      </w:r>
      <w:bookmarkEnd w:id="6"/>
    </w:p>
    <w:p w14:paraId="63DAC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6.1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行政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部</w:t>
      </w:r>
    </w:p>
    <w:p w14:paraId="12CCA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作为投诉处理唯一牵头与归口部门，负责本制度的落地、修订、公示与合规管控；统一受理、登记所有投诉事项；牵头组织调查核实、进度跟踪、结果审核；对接客户反馈、归档管理；编制年度RICS投诉合规台账与复盘报告；全程监督两级投诉流程合规性，确保国内行业监管要求及</w:t>
      </w:r>
      <w:r>
        <w:rPr>
          <w:rFonts w:hint="eastAsia" w:ascii="仿宋_GB2312" w:hAnsi="仿宋_GB2312" w:eastAsia="仿宋_GB2312" w:cs="仿宋_GB2312"/>
          <w:sz w:val="28"/>
          <w:szCs w:val="28"/>
        </w:rPr>
        <w:t>RICS监管标准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 w14:paraId="084EA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6.2 业务部门（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不动产评估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部、资产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评估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部）</w:t>
      </w:r>
    </w:p>
    <w:p w14:paraId="0ECDB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配合投诉核查、提供全套业务底稿与佐证材料、落实整改、客户沟通安抚；不得参与投诉终审裁定，规避利益冲突。</w:t>
      </w:r>
    </w:p>
    <w:p w14:paraId="1ADF2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6.3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总估价师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（独立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技术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复核岗）</w:t>
      </w:r>
    </w:p>
    <w:p w14:paraId="02058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独立负责所有专业技术类投诉的核查、判定、技术复核，出具中立专业意见，不受业务部门干预，保障技术争议处置的独立性与专业性，满足RICS独立评审要求。</w:t>
      </w:r>
    </w:p>
    <w:p w14:paraId="70D10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6.4 财务部</w:t>
      </w:r>
    </w:p>
    <w:p w14:paraId="3BB9A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负责收费、退费、费用争议类投诉的核查与合规处置。</w:t>
      </w:r>
    </w:p>
    <w:p w14:paraId="69189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6.5 公司管理层</w:t>
      </w:r>
    </w:p>
    <w:p w14:paraId="36B81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审批重大合规类投诉处理方案、复核二级申诉结果、审批年度投诉合规报告，统筹重大风险处置。</w:t>
      </w:r>
    </w:p>
    <w:p w14:paraId="4B320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6.6 全体从业人员</w:t>
      </w:r>
    </w:p>
    <w:p w14:paraId="290AD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接到客户投诉或异议必须第一时间上报归口部门，严禁隐瞒、压制、推诿、私下处置，违者按RICS违规条款及公司制度追责。严禁以任何方式劝阻、阻挠投诉人向 ADR、RICS 监管机构提出申诉。</w:t>
      </w:r>
    </w:p>
    <w:p w14:paraId="08EDE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2" w:beforeLines="25" w:after="82" w:afterLines="25" w:line="520" w:lineRule="exact"/>
        <w:ind w:lef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bookmarkStart w:id="7" w:name="heading_6"/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7. 投诉受理与登记</w:t>
      </w:r>
      <w:bookmarkEnd w:id="7"/>
    </w:p>
    <w:p w14:paraId="6CE10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7.1 受理渠道</w:t>
      </w:r>
    </w:p>
    <w:p w14:paraId="4286B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公司公开投诉电话、投诉邮箱、线下前台登记、官方渠道留言、RICS监管转办、行业主管部门转办等受理途径，确保客户无障碍投诉。</w:t>
      </w:r>
    </w:p>
    <w:p w14:paraId="3C202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7.2 登记要求</w:t>
      </w:r>
    </w:p>
    <w:p w14:paraId="7A564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所有投诉（含口头、简易异议）均需在24小时内录入《投诉处理登记台账》，逐项登记投诉人信息、项目编号、业务类型（房地产/资产评估）、投诉事由、诉求、受理时间、经办人信息，做到件件有登记、事事可追溯。匿名投诉、信息不全投诉同样登记存档、依规核查。</w:t>
      </w:r>
    </w:p>
    <w:p w14:paraId="0746B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7.3 受理审核</w:t>
      </w:r>
    </w:p>
    <w:p w14:paraId="5CE34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归口部门核实投诉事项归属，属于公司业务范围的正式受理；不属于公司权责范围的，书面告知投诉人并做好解释留痕，杜绝无效投诉积压。</w:t>
      </w:r>
    </w:p>
    <w:p w14:paraId="00C8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2" w:beforeLines="25" w:after="82" w:afterLines="25"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bookmarkStart w:id="8" w:name="heading_7"/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7.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 投诉收悉确认</w:t>
      </w:r>
    </w:p>
    <w:p w14:paraId="07B4A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归口部门在收到投诉后7个工作日（不含法定节假日）内向投诉人发送投诉受理确认回执，分配唯一投诉登记编号，告知大致处理周期；口头投诉同样出具书面/邮件确认回执。匿名投诉无法向投诉人反馈的，在台账中明确标注“匿名，无法送达回执”。</w:t>
      </w:r>
    </w:p>
    <w:p w14:paraId="06EB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2" w:beforeLines="25" w:after="82" w:afterLines="25" w:line="520" w:lineRule="exact"/>
        <w:ind w:lef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8. 两级投诉处理机制</w:t>
      </w:r>
      <w:bookmarkEnd w:id="8"/>
    </w:p>
    <w:p w14:paraId="209D5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公司严格执行RICS标准一级处置+二级申诉两级处理机制，禁止一步终结，保障客户救济权利。</w:t>
      </w:r>
    </w:p>
    <w:p w14:paraId="55441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8.1 第一阶段：初次投诉处置（基础办结阶段）</w:t>
      </w:r>
    </w:p>
    <w:p w14:paraId="3D72A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8.1.1 时限要求：</w:t>
      </w:r>
      <w:r>
        <w:rPr>
          <w:rFonts w:hint="eastAsia" w:ascii="仿宋_GB2312" w:hAnsi="仿宋_GB2312" w:eastAsia="仿宋_GB2312" w:cs="仿宋_GB2312"/>
          <w:sz w:val="28"/>
          <w:szCs w:val="28"/>
        </w:rPr>
        <w:t>受理后10个工作日（不含法定节假日）内完成调查、核实、整改与初步答复；复杂事项无法完全办结的，必须每10个工作日（不含法定节假日）向投诉人更新进度，最长整体办结周期不超过28个工作日（不含法定节假日，RICS强制最长时限）。</w:t>
      </w:r>
    </w:p>
    <w:p w14:paraId="2D6D3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8.1.2 处置流程：</w:t>
      </w:r>
      <w:r>
        <w:rPr>
          <w:rFonts w:hint="eastAsia" w:ascii="仿宋_GB2312" w:hAnsi="仿宋_GB2312" w:eastAsia="仿宋_GB2312" w:cs="仿宋_GB2312"/>
          <w:sz w:val="28"/>
          <w:szCs w:val="28"/>
        </w:rPr>
        <w:t>归口部门牵头、独立技术岗复核、业务部门配合核查，划分责任、制定整改方案、落实问题整改，形成《初次投诉处理意见书》，书面/邮件正式反馈投诉人。</w:t>
      </w:r>
    </w:p>
    <w:p w14:paraId="2EA89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8.2 第二阶段：内部申诉复核（升级复核阶段）</w:t>
      </w:r>
    </w:p>
    <w:p w14:paraId="051F8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8.2.1 适用情形：</w:t>
      </w:r>
      <w:r>
        <w:rPr>
          <w:rFonts w:hint="eastAsia" w:ascii="仿宋_GB2312" w:hAnsi="仿宋_GB2312" w:eastAsia="仿宋_GB2312" w:cs="仿宋_GB2312"/>
          <w:sz w:val="28"/>
          <w:szCs w:val="28"/>
        </w:rPr>
        <w:t>投诉人对初次处理结果不满意、不认可，可在收到答复后10个工作日（不含法定节假日）内申请内部申诉。</w:t>
      </w:r>
    </w:p>
    <w:p w14:paraId="789CE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8.2.2 复核要求：</w:t>
      </w:r>
      <w:r>
        <w:rPr>
          <w:rFonts w:hint="eastAsia" w:ascii="仿宋_GB2312" w:hAnsi="仿宋_GB2312" w:eastAsia="仿宋_GB2312" w:cs="仿宋_GB2312"/>
          <w:sz w:val="28"/>
          <w:szCs w:val="28"/>
        </w:rPr>
        <w:t>由未参与初次处理的管理人员及独立技术人员组成复核小组，全程回避原经办人员，开展独立复核，重新核查事实、证据与处置方案。</w:t>
      </w:r>
    </w:p>
    <w:p w14:paraId="28AE8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8.2.3 办结时限：</w:t>
      </w:r>
      <w:r>
        <w:rPr>
          <w:rFonts w:hint="eastAsia" w:ascii="仿宋_GB2312" w:hAnsi="仿宋_GB2312" w:eastAsia="仿宋_GB2312" w:cs="仿宋_GB2312"/>
          <w:sz w:val="28"/>
          <w:szCs w:val="28"/>
        </w:rPr>
        <w:t>受理申诉后15个工作日（不含法定节假日）内出具《最终复核意见书》，为公司内部最终处理结论。</w:t>
      </w:r>
    </w:p>
    <w:p w14:paraId="61C9B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8.3 外部独立救济</w:t>
      </w:r>
    </w:p>
    <w:p w14:paraId="34A88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若投诉人对公司两级处理结果仍不认可，可自主向 RICS 监管委员会批准的独立纠纷裁决机构 CEDR（Centre for Effective Dispute Resolution，有效争议解决中心）申请外部独立裁决。公司严禁劝阻、施压投诉人使用该外部救济渠道，无条件配合外部机构调查、举证与处置工作。</w:t>
      </w:r>
    </w:p>
    <w:p w14:paraId="5AC10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CEDR 联络信息：</w:t>
      </w:r>
    </w:p>
    <w:p w14:paraId="0B2C3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地址：100 St. Paul’s Churchyard, London EC4M 8BU, United Kingdom</w:t>
      </w:r>
    </w:p>
    <w:p w14:paraId="5A8BF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电话：+44 (0) 20 7536 6000</w:t>
      </w:r>
    </w:p>
    <w:p w14:paraId="1EEF8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官网：www.cedr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HYPERLINK "https://link.wtturl.cn/?target=https://assist.com&amp;scene=im&amp;aid=582478&amp;lang=zh" \o "autolink" \t "_blank"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assist.com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t>（RICS 投诉专项入口）</w:t>
      </w:r>
    </w:p>
    <w:p w14:paraId="04C31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提示：投诉人应当在收到本公司内部最终复核意见书起 12 个月内向 CEDR 提交申请。</w:t>
      </w:r>
    </w:p>
    <w:p w14:paraId="58094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上述外部救济权利及 CEDR 联络信息，必须在《投诉初次调查与处理意见书》《投诉内部申诉复核意见书》中明确告知投诉人。</w:t>
      </w:r>
    </w:p>
    <w:p w14:paraId="0E625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2" w:beforeLines="25" w:after="82" w:afterLines="25" w:line="520" w:lineRule="exact"/>
        <w:ind w:lef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bookmarkStart w:id="9" w:name="heading_8"/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9. 分类处置与整改标准</w:t>
      </w:r>
      <w:bookmarkEnd w:id="9"/>
    </w:p>
    <w:p w14:paraId="5FC91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9.1 无公司责任类投诉（认知偏差、沟通争议）</w:t>
      </w:r>
    </w:p>
    <w:p w14:paraId="350F5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由归口部门联合独立技术岗耐心解读房地产评估、资产评估业务规范、估值依据、行业标准，提供清晰答疑说明文件，消除客户认知偏差，留存完整沟通记录，完成闭环。</w:t>
      </w:r>
    </w:p>
    <w:p w14:paraId="0B068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9.2 轻微服务瑕疵类投诉</w:t>
      </w:r>
    </w:p>
    <w:p w14:paraId="5B682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对责任人员进行合规警示、岗位培训，及时向客户致歉、整改服务疏漏，完善服务流程，杜绝同类问题重复发生。</w:t>
      </w:r>
    </w:p>
    <w:p w14:paraId="4943E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9.3 专业技术瑕疵类投诉</w:t>
      </w:r>
    </w:p>
    <w:p w14:paraId="1F941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由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独立</w:t>
      </w:r>
      <w:r>
        <w:rPr>
          <w:rFonts w:hint="eastAsia" w:ascii="仿宋_GB2312" w:hAnsi="仿宋_GB2312" w:eastAsia="仿宋_GB2312" w:cs="仿宋_GB2312"/>
          <w:sz w:val="28"/>
          <w:szCs w:val="28"/>
        </w:rPr>
        <w:t>技术负责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岗</w:t>
      </w:r>
      <w:r>
        <w:rPr>
          <w:rFonts w:hint="eastAsia" w:ascii="仿宋_GB2312" w:hAnsi="仿宋_GB2312" w:eastAsia="仿宋_GB2312" w:cs="仿宋_GB2312"/>
          <w:sz w:val="28"/>
          <w:szCs w:val="28"/>
        </w:rPr>
        <w:t>全面复核评估全流程，针对测算失误、参数偏差、报告疏漏、依据不当等问题，严格按照国内准则及RICS标准修正、补充说明或重新出具评估报告；书面告知客户整改依据与结果，同步开展执业人员专业复盘培训，完善技术审核机制，留存全套技术复核档案。</w:t>
      </w:r>
    </w:p>
    <w:p w14:paraId="0DD31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9.4 重大合规类投诉</w:t>
      </w:r>
    </w:p>
    <w:p w14:paraId="287BE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立即启动风险应急预案，全面排查业务风险、落实整改、追责问责；主动对接RICS及国内监管机构报备情况，积极配合调查处置；开展全员RICS执业合规专项培训，建立长效风险防控机制，防范合规处罚与舆情风险。行政部（RICS合规归口）对重大合规投诉同步开展职业责任保险（PII）出险评估，根据保险合同约定，判断是否需要向PII承保机构履行出险通知义务，相关评估、沟通记录归入投诉档案留存。</w:t>
      </w:r>
    </w:p>
    <w:p w14:paraId="448CA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2" w:beforeLines="25" w:after="82" w:afterLines="25" w:line="520" w:lineRule="exact"/>
        <w:ind w:lef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10. 回访、归档与台账管理</w:t>
      </w:r>
    </w:p>
    <w:p w14:paraId="2244F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10.1 投诉闭环后3个工作日内完成专项客户回访，确认纠纷彻底化解，记录回访结果。</w:t>
      </w:r>
    </w:p>
    <w:p w14:paraId="663F9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10.2 实行一事一档、全程留痕，档案包含登记记录、调查取证材料、技术复核意见、两级处理文书、沟通记录、整改资料、回访记录、外部救济资料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投诉受理确认回执</w:t>
      </w:r>
      <w:r>
        <w:rPr>
          <w:rFonts w:hint="eastAsia" w:ascii="仿宋_GB2312" w:hAnsi="仿宋_GB2312" w:eastAsia="仿宋_GB2312" w:cs="仿宋_GB2312"/>
          <w:sz w:val="28"/>
          <w:szCs w:val="28"/>
        </w:rPr>
        <w:t>等，档案保存期限不少于5年，同时满足国内档案管理规定及RICS合规核查要求。</w:t>
      </w:r>
    </w:p>
    <w:p w14:paraId="3606F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sz w:val="28"/>
          <w:szCs w:val="28"/>
        </w:rPr>
        <w:t>10.3 建立年度投诉合规台账，按月、季、年统计投诉数据、问题类型、整改率、满意度，为国内监管检查及RICS年度合规评审提供完整数据支撑。</w:t>
      </w:r>
    </w:p>
    <w:p w14:paraId="1F21F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2" w:beforeLines="25" w:after="82" w:afterLines="25" w:line="520" w:lineRule="exact"/>
        <w:ind w:lef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bookmarkStart w:id="10" w:name="heading_10"/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11. 年度复盘与RICS合规改进</w:t>
      </w:r>
      <w:bookmarkEnd w:id="10"/>
    </w:p>
    <w:p w14:paraId="60816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11.1 公司每季度开展投诉案例专项复盘，梳理高频问题、流程漏洞与合规隐患，针对性优化业务审核、服务对接、风险管控流程。</w:t>
      </w:r>
    </w:p>
    <w:p w14:paraId="03E12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11.2 年度编制RICS投诉合规年度复盘报告，总结全年投诉处置情况、合规落实情况，制定下一年度流程优化、人员培训、风险防控计划，落实RICS持续改进强制性要求。</w:t>
      </w:r>
    </w:p>
    <w:p w14:paraId="1D605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2" w:beforeLines="25" w:after="82" w:afterLines="25" w:line="520" w:lineRule="exact"/>
        <w:ind w:lef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bookmarkStart w:id="11" w:name="heading_11"/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12. 奖惩与合规追责</w:t>
      </w:r>
      <w:bookmarkEnd w:id="11"/>
    </w:p>
    <w:p w14:paraId="5AAF2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12.1 因执业不规范、服务失职、技术失误、隐瞒投诉等行为引发合规投诉、影响公司RICS品牌及合规资质的，依规给予绩效处罚、通报批评、岗位整改，情节严重的上报行业监管部门及RICS机构追责。</w:t>
      </w:r>
    </w:p>
    <w:p w14:paraId="32BCE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12.2 主动化解争议、规避投诉风险、合规高效处置投诉的部门及个人，纳入年度评优考核。</w:t>
      </w:r>
    </w:p>
    <w:p w14:paraId="01135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12.3 严禁隐瞒、拖延、篡改投诉资料，一经发现从严追责。</w:t>
      </w:r>
    </w:p>
    <w:p w14:paraId="031EA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2" w:beforeLines="25" w:after="82" w:afterLines="25" w:line="520" w:lineRule="exact"/>
        <w:ind w:lef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bookmarkStart w:id="12" w:name="heading_12"/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13. 附则</w:t>
      </w:r>
      <w:bookmarkEnd w:id="12"/>
    </w:p>
    <w:p w14:paraId="50C0E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13.1 本程序由公司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行政</w:t>
      </w:r>
      <w:r>
        <w:rPr>
          <w:rFonts w:hint="eastAsia" w:ascii="仿宋_GB2312" w:hAnsi="仿宋_GB2312" w:eastAsia="仿宋_GB2312" w:cs="仿宋_GB2312"/>
          <w:sz w:val="28"/>
          <w:szCs w:val="28"/>
        </w:rPr>
        <w:t>部（RICS合规归口部门）负责解释、修订、公示与落地督导。</w:t>
      </w:r>
    </w:p>
    <w:p w14:paraId="54DE0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13.2 本程序同时满足国内评估行业法规及RICS国际合规标准，两者存在差异时，执行更严格标准。</w:t>
      </w:r>
    </w:p>
    <w:p w14:paraId="40903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13.3 本制度自发布之日起施行，原有相关制度与本文件不一致的，以本合规版本为准。</w:t>
      </w:r>
    </w:p>
    <w:p w14:paraId="7E6CB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1440" w:right="1474" w:bottom="1440" w:left="1587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chapStyle="1"/>
          <w:cols w:space="0" w:num="1"/>
          <w:rtlGutter w:val="0"/>
          <w:docGrid w:type="lines" w:linePitch="325" w:charSpace="0"/>
        </w:sectPr>
      </w:pPr>
    </w:p>
    <w:p w14:paraId="59837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bookmarkStart w:id="13" w:name="heading_13"/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附件：配套表单</w:t>
      </w:r>
      <w:bookmarkEnd w:id="13"/>
    </w:p>
    <w:p w14:paraId="00928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bookmarkStart w:id="14" w:name="heading_14"/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附件1：投诉处理登记表</w:t>
      </w:r>
      <w:bookmarkEnd w:id="14"/>
    </w:p>
    <w:tbl>
      <w:tblPr>
        <w:tblStyle w:val="1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993"/>
        <w:gridCol w:w="790"/>
        <w:gridCol w:w="857"/>
        <w:gridCol w:w="741"/>
        <w:gridCol w:w="750"/>
        <w:gridCol w:w="701"/>
        <w:gridCol w:w="701"/>
        <w:gridCol w:w="790"/>
        <w:gridCol w:w="750"/>
        <w:gridCol w:w="701"/>
        <w:gridCol w:w="750"/>
      </w:tblGrid>
      <w:tr w14:paraId="16BE0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D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5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登记编号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3B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投诉日期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42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投诉渠道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D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投诉人信息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BF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对应业务类型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02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  <w:r>
              <w:rPr>
                <w:rStyle w:val="26"/>
                <w:rFonts w:eastAsia="等线"/>
                <w:lang w:val="en-US" w:eastAsia="zh-CN" w:bidi="ar"/>
              </w:rPr>
              <w:t>/</w:t>
            </w:r>
            <w:r>
              <w:rPr>
                <w:rStyle w:val="27"/>
                <w:lang w:val="en-US" w:eastAsia="zh-CN" w:bidi="ar"/>
              </w:rPr>
              <w:t>报告编号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9C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投诉类别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2C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投诉核心事由及诉求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A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初步受理判定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70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受理人</w:t>
            </w:r>
            <w:r>
              <w:rPr>
                <w:rStyle w:val="26"/>
                <w:rFonts w:eastAsia="等线"/>
                <w:lang w:val="en-US" w:eastAsia="zh-CN" w:bidi="ar"/>
              </w:rPr>
              <w:t>/</w:t>
            </w:r>
            <w:r>
              <w:rPr>
                <w:rStyle w:val="27"/>
                <w:lang w:val="en-US" w:eastAsia="zh-CN" w:bidi="ar"/>
              </w:rPr>
              <w:t>日期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A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F46A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3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45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TS-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年份</w:t>
            </w:r>
            <w:r>
              <w:rPr>
                <w:rStyle w:val="28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0DA38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D3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电话</w:t>
            </w:r>
            <w:r>
              <w:rPr>
                <w:rStyle w:val="28"/>
                <w:rFonts w:eastAsia="等线"/>
                <w:lang w:val="en-US" w:eastAsia="zh-CN" w:bidi="ar"/>
              </w:rPr>
              <w:t>/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</w:t>
            </w:r>
            <w:r>
              <w:rPr>
                <w:rStyle w:val="28"/>
                <w:rFonts w:eastAsia="等线"/>
                <w:lang w:val="en-US" w:eastAsia="zh-CN" w:bidi="ar"/>
              </w:rPr>
              <w:t>/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  <w:r>
              <w:rPr>
                <w:rStyle w:val="28"/>
                <w:rFonts w:eastAsia="等线"/>
                <w:lang w:val="en-US" w:eastAsia="zh-CN" w:bidi="ar"/>
              </w:rPr>
              <w:t>/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监管转办</w:t>
            </w:r>
            <w:r>
              <w:rPr>
                <w:rStyle w:val="28"/>
                <w:rFonts w:eastAsia="等线"/>
                <w:lang w:val="en-US" w:eastAsia="zh-CN" w:bidi="ar"/>
              </w:rPr>
              <w:t>/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舆情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0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  <w:r>
              <w:rPr>
                <w:rStyle w:val="28"/>
                <w:rFonts w:eastAsia="等线"/>
                <w:lang w:val="en-US" w:eastAsia="zh-CN" w:bidi="ar"/>
              </w:rPr>
              <w:t>/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单位、联系方式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F5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房地产评估</w:t>
            </w:r>
            <w:r>
              <w:rPr>
                <w:rStyle w:val="28"/>
                <w:rFonts w:eastAsia="等线"/>
                <w:lang w:val="en-US" w:eastAsia="zh-CN" w:bidi="ar"/>
              </w:rPr>
              <w:t>/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资产评估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E2469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6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一般服务类</w:t>
            </w:r>
            <w:r>
              <w:rPr>
                <w:rStyle w:val="28"/>
                <w:rFonts w:eastAsia="等线"/>
                <w:lang w:val="en-US" w:eastAsia="zh-CN" w:bidi="ar"/>
              </w:rPr>
              <w:t>/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专业技术类</w:t>
            </w:r>
            <w:r>
              <w:rPr>
                <w:rStyle w:val="28"/>
                <w:rFonts w:eastAsia="等线"/>
                <w:lang w:val="en-US" w:eastAsia="zh-CN" w:bidi="ar"/>
              </w:rPr>
              <w:t>/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重大合规类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2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详细记录异议、争议、诉求内容，附相关证据摘要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CC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受理</w:t>
            </w:r>
            <w:r>
              <w:rPr>
                <w:rStyle w:val="28"/>
                <w:rFonts w:eastAsia="等线"/>
                <w:lang w:val="en-US" w:eastAsia="zh-CN" w:bidi="ar"/>
              </w:rPr>
              <w:t>/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不予受理（说明理由）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300B5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4C7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10E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2B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...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0DC0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98834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E800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C0B2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1D71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ECB24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F6F4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833C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A9B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62030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FFE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04F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78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填写说明：1. 所有投诉（含口头简易异议）必须24小时内登记；2. 匿名投诉、信息不全投诉如实登记并标注；3. 编号全年连续不重复，用于RICS台账追溯。</w:t>
            </w:r>
          </w:p>
        </w:tc>
      </w:tr>
    </w:tbl>
    <w:p w14:paraId="0811F668">
      <w:pPr>
        <w:spacing w:before="120" w:after="120" w:line="288" w:lineRule="auto"/>
        <w:ind w:left="0"/>
        <w:jc w:val="left"/>
      </w:pPr>
    </w:p>
    <w:p w14:paraId="7A433B03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  <w:sectPr>
          <w:pgSz w:w="11906" w:h="16838"/>
          <w:pgMar w:top="1440" w:right="1474" w:bottom="1440" w:left="1587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chapStyle="1"/>
          <w:cols w:space="0" w:num="1"/>
          <w:rtlGutter w:val="0"/>
          <w:docGrid w:type="lines" w:linePitch="325" w:charSpace="0"/>
        </w:sectPr>
      </w:pPr>
      <w:bookmarkStart w:id="15" w:name="heading_15"/>
    </w:p>
    <w:p w14:paraId="0E3AF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附件2：投诉初次调查与处理意见书</w:t>
      </w:r>
      <w:bookmarkEnd w:id="15"/>
    </w:p>
    <w:p w14:paraId="14ACB1B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一、基础信息</w:t>
      </w:r>
    </w:p>
    <w:p w14:paraId="515110F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投诉登记编号：__________  业务类型：房地产评估□ 资产评估□  受理日期：__________</w:t>
      </w:r>
    </w:p>
    <w:p w14:paraId="779ABAC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投诉人：__________  联系方式：__________  项目/报告编号：__________</w:t>
      </w:r>
    </w:p>
    <w:p w14:paraId="1B720AA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二、投诉事项概述</w:t>
      </w:r>
    </w:p>
    <w:p w14:paraId="276DA6C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（完整、客观复述投诉人异议、争议及核心诉求，不主观删减、篡改内容）</w:t>
      </w:r>
    </w:p>
    <w:p w14:paraId="22BC84F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________________________________________________________________________</w:t>
      </w:r>
    </w:p>
    <w:p w14:paraId="6317348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三、调查核实情况（含证据清单）</w:t>
      </w:r>
    </w:p>
    <w:p w14:paraId="0BF48CD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调查人员（严格执行回避制度）：__________</w:t>
      </w:r>
    </w:p>
    <w:p w14:paraId="07D131B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调查依据：RICS Rule7准则、对应评估行业规范、项目业务资料</w:t>
      </w:r>
    </w:p>
    <w:p w14:paraId="5A069E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核查事实：________________________________________________________</w:t>
      </w:r>
    </w:p>
    <w:p w14:paraId="3D9EF5D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佐证材料：工作底稿、勘查记录、测算报表、沟通记录、收费凭证等（列明清单）</w:t>
      </w:r>
    </w:p>
    <w:p w14:paraId="233ABED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四、责任认定</w:t>
      </w:r>
    </w:p>
    <w:p w14:paraId="6BFE4D4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□ 无公司责任（客户认知偏差、理解争议、第三方原因）</w:t>
      </w:r>
    </w:p>
    <w:p w14:paraId="2EFCACA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□ 轻微服务瑕疵（一般服务类问题）</w:t>
      </w:r>
    </w:p>
    <w:p w14:paraId="234ABB9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□ 专业技术瑕疵（技术参数、报告规范性问题）</w:t>
      </w:r>
    </w:p>
    <w:p w14:paraId="3641009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□ 重大合规责任（执业违规、保密违规、收费违规等）</w:t>
      </w:r>
    </w:p>
    <w:p w14:paraId="1602860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五、初次处理结论及整改措施</w:t>
      </w:r>
    </w:p>
    <w:p w14:paraId="17E0BED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（明确答复意见、整改内容、完成时限、善后措施）</w:t>
      </w:r>
    </w:p>
    <w:p w14:paraId="3A019AC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________________________________________________________________________</w:t>
      </w:r>
    </w:p>
    <w:p w14:paraId="72C6E16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六、投诉人初次反馈告知</w:t>
      </w:r>
    </w:p>
    <w:p w14:paraId="06B5777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已明确告知投诉人：如对本次处理结果不认可，可在10个工作日内申请内部申诉；对公司两级处理结果仍有异议的，可向RICS认可的CEDR独立纠纷裁决机构申请外部调解裁决。</w:t>
      </w:r>
    </w:p>
    <w:p w14:paraId="34FF2A94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CEDR 完整联络信息： 地址：100 St. Paul’s Churchyard, London EC4M 8BU, United Kingdom 电话：+44 (0) 20 7536 6000 官网：www.cedr</w:t>
      </w:r>
      <w:r>
        <w:rPr>
          <w:rFonts w:ascii="Arial" w:hAnsi="Arial" w:eastAsia="等线" w:cs="Arial"/>
          <w:sz w:val="22"/>
        </w:rPr>
        <w:noBreakHyphen/>
      </w:r>
      <w:r>
        <w:rPr>
          <w:rFonts w:ascii="Arial" w:hAnsi="Arial" w:eastAsia="等线" w:cs="Arial"/>
          <w:sz w:val="22"/>
        </w:rPr>
        <w:fldChar w:fldCharType="begin"/>
      </w:r>
      <w:r>
        <w:rPr>
          <w:rFonts w:ascii="Arial" w:hAnsi="Arial" w:eastAsia="等线" w:cs="Arial"/>
          <w:sz w:val="22"/>
        </w:rPr>
        <w:instrText xml:space="preserve"> HYPERLINK "https://link.wtturl.cn/?target=https://assist.com&amp;scene=im&amp;aid=582478&amp;lang=zh" \o "autolink" \t "_blank" </w:instrText>
      </w:r>
      <w:r>
        <w:rPr>
          <w:rFonts w:ascii="Arial" w:hAnsi="Arial" w:eastAsia="等线" w:cs="Arial"/>
          <w:sz w:val="22"/>
        </w:rPr>
        <w:fldChar w:fldCharType="separate"/>
      </w:r>
      <w:r>
        <w:rPr>
          <w:rFonts w:ascii="Arial" w:hAnsi="Arial" w:eastAsia="等线" w:cs="Arial"/>
          <w:sz w:val="22"/>
        </w:rPr>
        <w:t>assist.com</w:t>
      </w:r>
      <w:r>
        <w:rPr>
          <w:rFonts w:ascii="Arial" w:hAnsi="Arial" w:eastAsia="等线" w:cs="Arial"/>
          <w:sz w:val="22"/>
        </w:rPr>
        <w:fldChar w:fldCharType="end"/>
      </w:r>
      <w:r>
        <w:rPr>
          <w:rFonts w:ascii="Arial" w:hAnsi="Arial" w:eastAsia="等线" w:cs="Arial"/>
          <w:sz w:val="22"/>
        </w:rPr>
        <w:t>（RICS 投诉专项入口） 提示：投诉人应当在收到本公司内部最终复核意见书起 12 个月内向 CEDR 提交申请。</w:t>
      </w:r>
    </w:p>
    <w:p w14:paraId="7DEA49C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七、签字确认</w:t>
      </w:r>
    </w:p>
    <w:p w14:paraId="6BE18EB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调查人签字：__________  技术复核人签字：__________  审批人签字：__________</w:t>
      </w:r>
    </w:p>
    <w:p w14:paraId="754F55A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处理完成日期：__________</w:t>
      </w:r>
    </w:p>
    <w:p w14:paraId="5070C2D9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  <w:sectPr>
          <w:pgSz w:w="11906" w:h="16838"/>
          <w:pgMar w:top="1440" w:right="1474" w:bottom="1440" w:left="1587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chapStyle="1"/>
          <w:cols w:space="0" w:num="1"/>
          <w:rtlGutter w:val="0"/>
          <w:docGrid w:type="lines" w:linePitch="325" w:charSpace="0"/>
        </w:sectPr>
      </w:pPr>
      <w:bookmarkStart w:id="16" w:name="heading_16"/>
    </w:p>
    <w:p w14:paraId="21DA7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附件3：投诉内部申诉复核意见书</w:t>
      </w:r>
      <w:bookmarkEnd w:id="16"/>
    </w:p>
    <w:p w14:paraId="02C63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</w:pPr>
      <w:r>
        <w:rPr>
          <w:rFonts w:ascii="Arial" w:hAnsi="Arial" w:eastAsia="等线" w:cs="Arial"/>
          <w:b/>
          <w:sz w:val="22"/>
        </w:rPr>
        <w:t>一、申诉基础信息</w:t>
      </w:r>
    </w:p>
    <w:p w14:paraId="19B0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</w:pPr>
      <w:r>
        <w:rPr>
          <w:rFonts w:ascii="Arial" w:hAnsi="Arial" w:eastAsia="等线" w:cs="Arial"/>
          <w:sz w:val="22"/>
        </w:rPr>
        <w:t>原投诉编号：__________  申诉受理日期：__________  申诉截止时限：__________</w:t>
      </w:r>
    </w:p>
    <w:p w14:paraId="3BB28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</w:pPr>
      <w:r>
        <w:rPr>
          <w:rFonts w:ascii="Arial" w:hAnsi="Arial" w:eastAsia="等线" w:cs="Arial"/>
          <w:sz w:val="22"/>
        </w:rPr>
        <w:t>申诉人：__________  联系电话：__________</w:t>
      </w:r>
    </w:p>
    <w:p w14:paraId="036E2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</w:pPr>
      <w:r>
        <w:rPr>
          <w:rFonts w:ascii="Arial" w:hAnsi="Arial" w:eastAsia="等线" w:cs="Arial"/>
          <w:b/>
          <w:sz w:val="22"/>
        </w:rPr>
        <w:t>二、申诉事由</w:t>
      </w:r>
    </w:p>
    <w:p w14:paraId="36A6B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</w:pPr>
      <w:r>
        <w:rPr>
          <w:rFonts w:ascii="Arial" w:hAnsi="Arial" w:eastAsia="等线" w:cs="Arial"/>
          <w:sz w:val="22"/>
        </w:rPr>
        <w:t>（记录投诉人对初次处理结果的异议点、申诉诉求）</w:t>
      </w:r>
    </w:p>
    <w:p w14:paraId="50C58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</w:pPr>
      <w:r>
        <w:rPr>
          <w:rFonts w:ascii="Arial" w:hAnsi="Arial" w:eastAsia="等线" w:cs="Arial"/>
          <w:sz w:val="22"/>
        </w:rPr>
        <w:t>________________________________________________________________________</w:t>
      </w:r>
    </w:p>
    <w:p w14:paraId="1B402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</w:pPr>
      <w:r>
        <w:rPr>
          <w:rFonts w:ascii="Arial" w:hAnsi="Arial" w:eastAsia="等线" w:cs="Arial"/>
          <w:b/>
          <w:sz w:val="22"/>
        </w:rPr>
        <w:t>三、复核小组信息（回避原经办人员）</w:t>
      </w:r>
    </w:p>
    <w:p w14:paraId="59ED9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</w:pPr>
      <w:r>
        <w:rPr>
          <w:rFonts w:ascii="Arial" w:hAnsi="Arial" w:eastAsia="等线" w:cs="Arial"/>
          <w:sz w:val="22"/>
        </w:rPr>
        <w:t>复核负责人：__________  独立技术复核人员：__________  复核成员：__________</w:t>
      </w:r>
    </w:p>
    <w:p w14:paraId="6A992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</w:pPr>
      <w:r>
        <w:rPr>
          <w:rFonts w:ascii="Arial" w:hAnsi="Arial" w:eastAsia="等线" w:cs="Arial"/>
          <w:b/>
          <w:sz w:val="22"/>
        </w:rPr>
        <w:t>四、独立复核情况</w:t>
      </w:r>
    </w:p>
    <w:p w14:paraId="67BC8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</w:pPr>
      <w:r>
        <w:rPr>
          <w:rFonts w:ascii="Arial" w:hAnsi="Arial" w:eastAsia="等线" w:cs="Arial"/>
          <w:sz w:val="22"/>
        </w:rPr>
        <w:t>1. 复核依据：RICS执业规范、国内外评估行业标准、原投诉全套档案</w:t>
      </w:r>
    </w:p>
    <w:p w14:paraId="27D9D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</w:pPr>
      <w:r>
        <w:rPr>
          <w:rFonts w:ascii="Arial" w:hAnsi="Arial" w:eastAsia="等线" w:cs="Arial"/>
          <w:sz w:val="22"/>
        </w:rPr>
        <w:t>2. 复核事实与问题认定：________________________________________________</w:t>
      </w:r>
    </w:p>
    <w:p w14:paraId="24D31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</w:pPr>
      <w:r>
        <w:rPr>
          <w:rFonts w:ascii="Arial" w:hAnsi="Arial" w:eastAsia="等线" w:cs="Arial"/>
          <w:sz w:val="22"/>
        </w:rPr>
        <w:t>3. 初次处理问题核查：□ 处理合规无误 □ 存在疏漏需更正 □ 需补充整改</w:t>
      </w:r>
    </w:p>
    <w:p w14:paraId="33B5E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</w:pPr>
      <w:r>
        <w:rPr>
          <w:rFonts w:ascii="Arial" w:hAnsi="Arial" w:eastAsia="等线" w:cs="Arial"/>
          <w:b/>
          <w:sz w:val="22"/>
        </w:rPr>
        <w:t>五、最终复核结论（公司内部终审结论）</w:t>
      </w:r>
    </w:p>
    <w:p w14:paraId="10ABB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</w:pPr>
      <w:r>
        <w:rPr>
          <w:rFonts w:ascii="Arial" w:hAnsi="Arial" w:eastAsia="等线" w:cs="Arial"/>
          <w:sz w:val="22"/>
        </w:rPr>
        <w:t>________________________________________________________________________</w:t>
      </w:r>
    </w:p>
    <w:p w14:paraId="4E47F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</w:pPr>
      <w:r>
        <w:rPr>
          <w:rFonts w:ascii="Arial" w:hAnsi="Arial" w:eastAsia="等线" w:cs="Arial"/>
          <w:b/>
          <w:sz w:val="22"/>
        </w:rPr>
        <w:t>六、外部救济告知</w:t>
      </w:r>
    </w:p>
    <w:p w14:paraId="14B0F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本结论为公司内部最终处理结果，投诉人仍可向 RICS 监管委员会批准的独立纠纷裁决机构 CEDR（Centre for Effective Dispute Resolution，有效争议解决中心）申请外部独立裁决，公司将无条件配合相关核查工作。</w:t>
      </w:r>
    </w:p>
    <w:p w14:paraId="02540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CEDR 完整联络信息：</w:t>
      </w:r>
    </w:p>
    <w:p w14:paraId="79338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地址：100 St. Paul’s Churchyard, London EC4M 8BU, United Kingdom</w:t>
      </w:r>
    </w:p>
    <w:p w14:paraId="01F62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电话：+44 (0) 20 7536 6000</w:t>
      </w:r>
    </w:p>
    <w:p w14:paraId="6EDD8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官网：www.cedr</w:t>
      </w:r>
      <w:r>
        <w:rPr>
          <w:rFonts w:ascii="Arial" w:hAnsi="Arial" w:eastAsia="等线" w:cs="Arial"/>
          <w:sz w:val="22"/>
        </w:rPr>
        <w:noBreakHyphen/>
      </w:r>
      <w:r>
        <w:rPr>
          <w:rFonts w:ascii="Arial" w:hAnsi="Arial" w:eastAsia="等线" w:cs="Arial"/>
          <w:sz w:val="22"/>
        </w:rPr>
        <w:fldChar w:fldCharType="begin"/>
      </w:r>
      <w:r>
        <w:rPr>
          <w:rFonts w:ascii="Arial" w:hAnsi="Arial" w:eastAsia="等线" w:cs="Arial"/>
          <w:sz w:val="22"/>
        </w:rPr>
        <w:instrText xml:space="preserve"> HYPERLINK "https://link.wtturl.cn/?target=https://assist.com&amp;scene=im&amp;aid=582478&amp;lang=zh" \o "autolink" \t "_blank" </w:instrText>
      </w:r>
      <w:r>
        <w:rPr>
          <w:rFonts w:ascii="Arial" w:hAnsi="Arial" w:eastAsia="等线" w:cs="Arial"/>
          <w:sz w:val="22"/>
        </w:rPr>
        <w:fldChar w:fldCharType="separate"/>
      </w:r>
      <w:r>
        <w:rPr>
          <w:rFonts w:ascii="Arial" w:hAnsi="Arial" w:eastAsia="等线" w:cs="Arial"/>
          <w:sz w:val="22"/>
        </w:rPr>
        <w:t>assist.com</w:t>
      </w:r>
      <w:r>
        <w:rPr>
          <w:rFonts w:ascii="Arial" w:hAnsi="Arial" w:eastAsia="等线" w:cs="Arial"/>
          <w:sz w:val="22"/>
        </w:rPr>
        <w:fldChar w:fldCharType="end"/>
      </w:r>
      <w:r>
        <w:rPr>
          <w:rFonts w:ascii="Arial" w:hAnsi="Arial" w:eastAsia="等线" w:cs="Arial"/>
          <w:sz w:val="22"/>
        </w:rPr>
        <w:t>（RICS 投诉专项入口）</w:t>
      </w:r>
    </w:p>
    <w:p w14:paraId="3F36E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提示：投诉人应当在收到本公司内部最终复核意见书起 12 个月内向 CEDR 提交申请。</w:t>
      </w:r>
    </w:p>
    <w:p w14:paraId="6865A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</w:pPr>
      <w:r>
        <w:rPr>
          <w:rFonts w:ascii="Arial" w:hAnsi="Arial" w:eastAsia="等线" w:cs="Arial"/>
          <w:b/>
          <w:sz w:val="22"/>
        </w:rPr>
        <w:t>七、签字确认</w:t>
      </w:r>
    </w:p>
    <w:p w14:paraId="16020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</w:pPr>
      <w:r>
        <w:rPr>
          <w:rFonts w:ascii="Arial" w:hAnsi="Arial" w:eastAsia="等线" w:cs="Arial"/>
          <w:sz w:val="22"/>
        </w:rPr>
        <w:t>复核小组全员签字：__________  管理层审批签字：__________</w:t>
      </w:r>
    </w:p>
    <w:p w14:paraId="2649C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88" w:lineRule="auto"/>
        <w:ind w:left="0"/>
        <w:jc w:val="left"/>
        <w:textAlignment w:val="auto"/>
      </w:pPr>
      <w:r>
        <w:rPr>
          <w:rFonts w:ascii="Arial" w:hAnsi="Arial" w:eastAsia="等线" w:cs="Arial"/>
          <w:sz w:val="22"/>
        </w:rPr>
        <w:t>复核办结日期：__________</w:t>
      </w:r>
    </w:p>
    <w:p w14:paraId="679D988E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  <w:sectPr>
          <w:pgSz w:w="11906" w:h="16838"/>
          <w:pgMar w:top="1440" w:right="1474" w:bottom="1440" w:left="1587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chapStyle="1"/>
          <w:cols w:space="0" w:num="1"/>
          <w:rtlGutter w:val="0"/>
          <w:docGrid w:type="lines" w:linePitch="325" w:charSpace="0"/>
        </w:sectPr>
      </w:pPr>
      <w:bookmarkStart w:id="17" w:name="heading_17"/>
    </w:p>
    <w:p w14:paraId="11D53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附件4：投诉整改方案及验收记录表</w:t>
      </w:r>
      <w:bookmarkEnd w:id="17"/>
    </w:p>
    <w:p w14:paraId="3ABCCA79">
      <w:p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</w:p>
    <w:p w14:paraId="7330FFC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一、整改基础信息</w:t>
      </w:r>
    </w:p>
    <w:p w14:paraId="53ECD00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投诉编号：__________  责任部门：__________  责任人员：__________</w:t>
      </w:r>
    </w:p>
    <w:p w14:paraId="78360B8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二、问题成因分析</w:t>
      </w:r>
    </w:p>
    <w:p w14:paraId="629F7D2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从服务流程、执业技术、合规意识、管理制度、沟通管理等维度分析根源：__________</w:t>
      </w:r>
    </w:p>
    <w:p w14:paraId="19B04DB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三、具体整改措施、完成时限</w:t>
      </w:r>
    </w:p>
    <w:tbl>
      <w:tblPr>
        <w:tblStyle w:val="1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2162"/>
        <w:gridCol w:w="1650"/>
        <w:gridCol w:w="1650"/>
        <w:gridCol w:w="1650"/>
      </w:tblGrid>
      <w:tr w14:paraId="4D235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4B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4B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整改具体内容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37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整改责任人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0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计划完成时限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F5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 w14:paraId="1EE37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172E5">
            <w:pPr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65EF5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C2430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04FE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2C0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9390A1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四、长效防控措施</w:t>
      </w:r>
    </w:p>
    <w:p w14:paraId="0F4B351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________________________________________________________________________</w:t>
      </w:r>
    </w:p>
    <w:p w14:paraId="1EB65DB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五、整改验收结论</w:t>
      </w:r>
    </w:p>
    <w:p w14:paraId="29F7C678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 xml:space="preserve">验收人（合规专员）签字：__________  验收日期：__________ </w:t>
      </w:r>
    </w:p>
    <w:p w14:paraId="0033027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验收结果：□ 合格闭环 □ 需二次整改</w:t>
      </w:r>
    </w:p>
    <w:p w14:paraId="2F3F84D2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  <w:sectPr>
          <w:pgSz w:w="11906" w:h="16838"/>
          <w:pgMar w:top="1440" w:right="1474" w:bottom="1440" w:left="1587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chapStyle="1"/>
          <w:cols w:space="0" w:num="1"/>
          <w:rtlGutter w:val="0"/>
          <w:docGrid w:type="lines" w:linePitch="325" w:charSpace="0"/>
        </w:sectPr>
      </w:pPr>
      <w:bookmarkStart w:id="18" w:name="heading_18"/>
    </w:p>
    <w:p w14:paraId="689F9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附件5：投诉回访闭环记录表</w:t>
      </w:r>
      <w:bookmarkEnd w:id="18"/>
    </w:p>
    <w:p w14:paraId="454DD4C7">
      <w:p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</w:p>
    <w:p w14:paraId="2BC609B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一、回访基础信息</w:t>
      </w:r>
    </w:p>
    <w:p w14:paraId="46B4577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投诉编号：__________  回访日期（闭环后3个工作日内）：__________</w:t>
      </w:r>
    </w:p>
    <w:p w14:paraId="729C554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回访方式：电话□ 微信□ 书面邮件□ 现场□</w:t>
      </w:r>
    </w:p>
    <w:p w14:paraId="5FF4DEC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二、回访核心内容记录</w:t>
      </w:r>
    </w:p>
    <w:p w14:paraId="7FB2064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客户对处理结果是否知晓：□是 □否</w:t>
      </w:r>
    </w:p>
    <w:p w14:paraId="4ACF2D3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客户对整改结果是否认可：□完全认可 □基本认可 □仍有异议（备注说明）</w:t>
      </w:r>
    </w:p>
    <w:p w14:paraId="3B93629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客户满意度评价：□非常满意 □满意 □一般 □不满意</w:t>
      </w:r>
    </w:p>
    <w:p w14:paraId="16DC624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客户其他意见与建议：________________________________________________</w:t>
      </w:r>
    </w:p>
    <w:p w14:paraId="2151260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三、闭环判定</w:t>
      </w:r>
    </w:p>
    <w:p w14:paraId="5706F7B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□ 纠纷完全化解，投诉正式闭环归档</w:t>
      </w:r>
    </w:p>
    <w:p w14:paraId="052F4C4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□ 仍存异议，需重启核查/升级处理</w:t>
      </w:r>
    </w:p>
    <w:p w14:paraId="0FC4BF9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回访人签字：__________  备注：__________</w:t>
      </w:r>
    </w:p>
    <w:p w14:paraId="16FCEA79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  <w:sectPr>
          <w:pgSz w:w="11906" w:h="16838"/>
          <w:pgMar w:top="1440" w:right="1474" w:bottom="1440" w:left="1587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chapStyle="1"/>
          <w:cols w:space="0" w:num="1"/>
          <w:rtlGutter w:val="0"/>
          <w:docGrid w:type="lines" w:linePitch="325" w:charSpace="0"/>
        </w:sectPr>
      </w:pPr>
      <w:bookmarkStart w:id="19" w:name="heading_19"/>
    </w:p>
    <w:p w14:paraId="6735DA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附件6：年度RICS投诉合规管理台账及复盘报告模板</w:t>
      </w:r>
      <w:bookmarkEnd w:id="19"/>
    </w:p>
    <w:p w14:paraId="7F03B16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第一部分：年度投诉统计台账</w:t>
      </w:r>
    </w:p>
    <w:tbl>
      <w:tblPr>
        <w:tblStyle w:val="1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</w:tblGrid>
      <w:tr w14:paraId="789B1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4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月份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E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投诉总数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A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一般服务类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AB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专业技术类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74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重大合规类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8D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房地产评估投诉数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67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资产评估投诉数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EC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按期办结数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3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整改闭环率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8D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客户满意度</w:t>
            </w:r>
          </w:p>
        </w:tc>
      </w:tr>
      <w:tr w14:paraId="7438B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E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Style w:val="25"/>
                <w:lang w:val="en-US" w:eastAsia="zh-CN" w:bidi="ar"/>
              </w:rPr>
              <w:t>月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F1E5D">
            <w:pPr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23FCC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52A0D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682F5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4FE64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DCBDE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AA1B5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62012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DD1E4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791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B9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Style w:val="25"/>
                <w:lang w:val="en-US" w:eastAsia="zh-CN" w:bidi="ar"/>
              </w:rPr>
              <w:t>月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957E3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BCAC9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7C13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4619E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F647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7AEC6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8DA17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8C525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16720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D1D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B7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...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886FA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1D731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2406C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C9B0A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79E46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C6FC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8472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25702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A116C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4D7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4E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全年合计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D3C81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B7801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9DB93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30930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4146E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A344C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DFE41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204FE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D5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1C86A0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第二部分：年度复盘分析</w:t>
      </w:r>
    </w:p>
    <w:p w14:paraId="3F9EB39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年度投诉整体概况：________________________________________________</w:t>
      </w:r>
    </w:p>
    <w:p w14:paraId="0AD5194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高频投诉问题、薄弱环节分析：____________________________________</w:t>
      </w:r>
    </w:p>
    <w:p w14:paraId="79EF111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违规及合规风险隐患排查总结：____________________________________</w:t>
      </w:r>
    </w:p>
    <w:p w14:paraId="6A4094E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上年度整改措施落地成效：________________________________________</w:t>
      </w:r>
    </w:p>
    <w:p w14:paraId="6A78259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下年度RICS合规改进计划、培训计划、流程优化方案：________________</w:t>
      </w:r>
    </w:p>
    <w:p w14:paraId="3F50BD8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第三部分：审批归档</w:t>
      </w:r>
    </w:p>
    <w:p w14:paraId="42890EE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编制人（合规专员）：__________  编制日期：__________</w:t>
      </w:r>
    </w:p>
    <w:p w14:paraId="555C562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审核人（技术负责人）：__________  审批人（管理层）：__________</w:t>
      </w:r>
    </w:p>
    <w:p w14:paraId="7515149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归档编号：__________</w:t>
      </w:r>
    </w:p>
    <w:p w14:paraId="0230250A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归档资料清单：</w:t>
      </w:r>
    </w:p>
    <w:p w14:paraId="5B3D171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《RICS合规投诉处理登记表》</w:t>
      </w:r>
    </w:p>
    <w:p w14:paraId="16321D4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 xml:space="preserve">2. </w:t>
      </w:r>
      <w:r>
        <w:rPr>
          <w:rFonts w:ascii="宋体" w:hAnsi="宋体" w:eastAsia="宋体" w:cs="宋体"/>
          <w:sz w:val="24"/>
          <w:szCs w:val="24"/>
        </w:rPr>
        <w:t>《投诉受理确认回执》</w:t>
      </w:r>
    </w:p>
    <w:p w14:paraId="2A05B73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《投诉初次调查与处理意见书》</w:t>
      </w:r>
    </w:p>
    <w:p w14:paraId="6669E597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4</w:t>
      </w:r>
      <w:r>
        <w:rPr>
          <w:rFonts w:ascii="Arial" w:hAnsi="Arial" w:eastAsia="等线" w:cs="Arial"/>
          <w:sz w:val="22"/>
        </w:rPr>
        <w:t>. 《投诉内部申诉复核意见书》</w:t>
      </w:r>
    </w:p>
    <w:p w14:paraId="7E5AA159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5</w:t>
      </w:r>
      <w:r>
        <w:rPr>
          <w:rFonts w:ascii="Arial" w:hAnsi="Arial" w:eastAsia="等线" w:cs="Arial"/>
          <w:sz w:val="22"/>
        </w:rPr>
        <w:t>. 《投诉整改方案及验收记录表》</w:t>
      </w:r>
    </w:p>
    <w:p w14:paraId="06735B39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6</w:t>
      </w:r>
      <w:r>
        <w:rPr>
          <w:rFonts w:ascii="Arial" w:hAnsi="Arial" w:eastAsia="等线" w:cs="Arial"/>
          <w:sz w:val="22"/>
        </w:rPr>
        <w:t>. 《投诉回访闭环记录表》</w:t>
      </w:r>
    </w:p>
    <w:p w14:paraId="1515B800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7</w:t>
      </w:r>
      <w:r>
        <w:rPr>
          <w:rFonts w:ascii="Arial" w:hAnsi="Arial" w:eastAsia="等线" w:cs="Arial"/>
          <w:sz w:val="22"/>
        </w:rPr>
        <w:t>. 《年度RICS投诉合规管理台账及复盘报告模板》</w:t>
      </w:r>
    </w:p>
    <w:bookmarkEnd w:id="0"/>
    <w:p w14:paraId="6E6AD2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  <w:sectPr>
          <w:pgSz w:w="11906" w:h="16838"/>
          <w:pgMar w:top="1440" w:right="1474" w:bottom="1440" w:left="1587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chapStyle="1"/>
          <w:cols w:space="0" w:num="1"/>
          <w:rtlGutter w:val="0"/>
          <w:docGrid w:type="lines" w:linePitch="325" w:charSpace="0"/>
        </w:sectPr>
      </w:pPr>
    </w:p>
    <w:p w14:paraId="77AB6D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：《投诉处理程序》对外公示渠道说明</w:t>
      </w:r>
    </w:p>
    <w:p w14:paraId="41FDAA4A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依据 RICS Rule7 合规要求，本程序持续对外公开，公示渠道如下：</w:t>
      </w:r>
    </w:p>
    <w:p w14:paraId="7611CAB1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1.</w:t>
      </w:r>
      <w:r>
        <w:rPr>
          <w:rFonts w:hint="eastAsia" w:ascii="Arial" w:hAnsi="Arial" w:eastAsia="等线" w:cs="Arial"/>
          <w:sz w:val="22"/>
        </w:rPr>
        <w:t>公司官方</w:t>
      </w:r>
      <w:r>
        <w:rPr>
          <w:rFonts w:hint="eastAsia" w:ascii="Arial" w:hAnsi="Arial" w:eastAsia="等线" w:cs="Arial"/>
          <w:sz w:val="22"/>
          <w:lang w:val="en-US" w:eastAsia="zh-CN"/>
        </w:rPr>
        <w:t>微信公众号</w:t>
      </w:r>
      <w:r>
        <w:rPr>
          <w:rFonts w:hint="eastAsia" w:ascii="Arial" w:hAnsi="Arial" w:eastAsia="等线" w:cs="Arial"/>
          <w:sz w:val="22"/>
        </w:rPr>
        <w:t>客户服务板块永久公开电子版全文，开放免费查阅下载；</w:t>
      </w:r>
    </w:p>
    <w:p w14:paraId="17430FF8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2.</w:t>
      </w:r>
      <w:r>
        <w:rPr>
          <w:rFonts w:hint="eastAsia" w:ascii="Arial" w:hAnsi="Arial" w:eastAsia="等线" w:cs="Arial"/>
          <w:sz w:val="22"/>
        </w:rPr>
        <w:t>客户提出索取需求时，行政部通过电子邮箱即时发送完整文档；</w:t>
      </w:r>
    </w:p>
    <w:p w14:paraId="5E8BC091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3.</w:t>
      </w:r>
      <w:r>
        <w:rPr>
          <w:rFonts w:hint="eastAsia" w:ascii="Arial" w:hAnsi="Arial" w:eastAsia="等线" w:cs="Arial"/>
          <w:sz w:val="22"/>
        </w:rPr>
        <w:t>公司办公前台设立线下公示指引，客户可现场申领纸质副本；</w:t>
      </w:r>
    </w:p>
    <w:p w14:paraId="16D545C4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4.</w:t>
      </w:r>
      <w:r>
        <w:rPr>
          <w:rFonts w:hint="eastAsia" w:ascii="Arial" w:hAnsi="Arial" w:eastAsia="等线" w:cs="Arial"/>
          <w:sz w:val="22"/>
        </w:rPr>
        <w:t>所有评估委托相关沟通环节，业务人员按需向委托方告知程序获取方式。</w:t>
      </w:r>
    </w:p>
    <w:p w14:paraId="1789DDE5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本程序发生修订更新后，全部公示渠道同步更新，保证对外文本版本统一有效。</w:t>
      </w:r>
    </w:p>
    <w:p w14:paraId="4039E005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</w:p>
    <w:p w14:paraId="25FA8ABE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  <w:sectPr>
          <w:pgSz w:w="11906" w:h="16838"/>
          <w:pgMar w:top="1440" w:right="1474" w:bottom="1440" w:left="1587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chapStyle="1"/>
          <w:cols w:space="0" w:num="1"/>
          <w:rtlGutter w:val="0"/>
          <w:docGrid w:type="lines" w:linePitch="325" w:charSpace="0"/>
        </w:sectPr>
      </w:pPr>
    </w:p>
    <w:p w14:paraId="7287AD8D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ascii="宋体" w:hAnsi="宋体" w:eastAsia="宋体" w:cs="宋体"/>
          <w:sz w:val="24"/>
          <w:szCs w:val="24"/>
        </w:rPr>
        <w:t>附件 8：投诉受理确认回执</w:t>
      </w:r>
    </w:p>
    <w:p w14:paraId="60B80FA5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1. 投诉登记编号：TS</w:t>
      </w:r>
      <w:r>
        <w:rPr>
          <w:rFonts w:ascii="Arial" w:hAnsi="Arial" w:eastAsia="等线" w:cs="Arial"/>
          <w:sz w:val="22"/>
        </w:rPr>
        <w:noBreakHyphen/>
      </w:r>
      <w:r>
        <w:rPr>
          <w:rFonts w:ascii="Arial" w:hAnsi="Arial" w:eastAsia="等线" w:cs="Arial"/>
          <w:sz w:val="22"/>
        </w:rPr>
        <w:noBreakHyphen/>
      </w:r>
      <w:r>
        <w:rPr>
          <w:rFonts w:ascii="Arial" w:hAnsi="Arial" w:eastAsia="等线" w:cs="Arial"/>
          <w:sz w:val="22"/>
        </w:rPr>
        <w:t>__________</w:t>
      </w:r>
    </w:p>
    <w:p w14:paraId="366A1A2F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2</w:t>
      </w:r>
      <w:r>
        <w:rPr>
          <w:rFonts w:ascii="Arial" w:hAnsi="Arial" w:eastAsia="等线" w:cs="Arial"/>
          <w:sz w:val="22"/>
        </w:rPr>
        <w:t>. 投诉接收日期：__________</w:t>
      </w:r>
    </w:p>
    <w:p w14:paraId="565B92F2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3</w:t>
      </w:r>
      <w:r>
        <w:rPr>
          <w:rFonts w:ascii="Arial" w:hAnsi="Arial" w:eastAsia="等线" w:cs="Arial"/>
          <w:sz w:val="22"/>
        </w:rPr>
        <w:t>. 投诉人：__________ 联系方式：__________</w:t>
      </w:r>
    </w:p>
    <w:p w14:paraId="0B52A828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4</w:t>
      </w:r>
      <w:r>
        <w:rPr>
          <w:rFonts w:ascii="Arial" w:hAnsi="Arial" w:eastAsia="等线" w:cs="Arial"/>
          <w:sz w:val="22"/>
        </w:rPr>
        <w:t>. 关联业务 / 报告编号：________________</w:t>
      </w:r>
    </w:p>
    <w:p w14:paraId="5A64862A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5</w:t>
      </w:r>
      <w:r>
        <w:rPr>
          <w:rFonts w:ascii="Arial" w:hAnsi="Arial" w:eastAsia="等线" w:cs="Arial"/>
          <w:sz w:val="22"/>
        </w:rPr>
        <w:t>. 简要投诉事由摘要：____________________________________</w:t>
      </w:r>
    </w:p>
    <w:p w14:paraId="0DA93D2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6</w:t>
      </w:r>
      <w:r>
        <w:rPr>
          <w:rFonts w:ascii="Arial" w:hAnsi="Arial" w:eastAsia="等线" w:cs="Arial"/>
          <w:sz w:val="22"/>
        </w:rPr>
        <w:t>. 受理状态：□正式受理 □不予受理（理由：________________）</w:t>
      </w:r>
    </w:p>
    <w:p w14:paraId="0F8BA67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7</w:t>
      </w:r>
      <w:r>
        <w:rPr>
          <w:rFonts w:ascii="Arial" w:hAnsi="Arial" w:eastAsia="等线" w:cs="Arial"/>
          <w:sz w:val="22"/>
        </w:rPr>
        <w:t>. RICS 处理时限告知： 本公司将按照 RICS Rule7 投诉处理程序开展调查；整体最长处理周期不超过 28 个工作日（不含法定节假日）；复杂案件将定期向您更新进度。如对后续处理结果不满意，您享有内部申诉以及向 CEDR 申请外部独立救济的权利。</w:t>
      </w:r>
    </w:p>
    <w:p w14:paraId="245496F2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8</w:t>
      </w:r>
      <w:r>
        <w:rPr>
          <w:rFonts w:ascii="Arial" w:hAnsi="Arial" w:eastAsia="等线" w:cs="Arial"/>
          <w:sz w:val="22"/>
        </w:rPr>
        <w:t>. 公司投诉联系人：__________ 联系电话：__________ 邮箱：__________</w:t>
      </w:r>
    </w:p>
    <w:p w14:paraId="199B1FE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  <w:lang w:val="en-US" w:eastAsia="zh-CN"/>
        </w:rPr>
        <w:t>经办人签字：__________ 回执出具日期：__________</w:t>
      </w:r>
    </w:p>
    <w:p w14:paraId="306E706D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使用规则：收到投诉后 7 个工作日（不含法定节假日）内邮件 / 书面发送投诉人；发送记录归入对应投诉档案。</w:t>
      </w:r>
    </w:p>
    <w:p w14:paraId="574BC904">
      <w:pPr>
        <w:spacing w:before="120" w:after="120" w:line="288" w:lineRule="auto"/>
        <w:ind w:left="0"/>
        <w:jc w:val="left"/>
        <w:rPr>
          <w:rFonts w:hint="default" w:ascii="Arial" w:hAnsi="Arial" w:eastAsia="等线" w:cs="Arial"/>
          <w:sz w:val="22"/>
          <w:lang w:val="en-US" w:eastAsia="zh-CN"/>
        </w:rPr>
      </w:pPr>
    </w:p>
    <w:sectPr>
      <w:pgSz w:w="11906" w:h="16838"/>
      <w:pgMar w:top="1440" w:right="1474" w:bottom="1440" w:left="1587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chapStyle="1"/>
      <w:cols w:space="0" w:num="1"/>
      <w:rtlGutter w:val="0"/>
      <w:docGrid w:type="lines" w:linePitch="32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EE85B">
    <w:pPr>
      <w:pStyle w:val="8"/>
      <w:pBdr>
        <w:top w:val="thinThickSmallGap" w:color="622423" w:themeColor="accent2" w:themeShade="7F" w:sz="24" w:space="1"/>
      </w:pBdr>
      <w:rPr>
        <w:rFonts w:hint="eastAsia" w:ascii="楷体_GB2312" w:eastAsia="楷体_GB2312" w:hAnsiTheme="majorHAnsi"/>
      </w:rPr>
    </w:pPr>
    <w:r>
      <w:rPr>
        <w:rFonts w:hint="eastAsia" w:ascii="楷体_GB2312" w:eastAsia="楷体_GB2312" w:hAnsiTheme="majorHAnsi"/>
        <w:lang w:val="en-US"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3348355</wp:posOffset>
          </wp:positionH>
          <wp:positionV relativeFrom="paragraph">
            <wp:posOffset>-8255</wp:posOffset>
          </wp:positionV>
          <wp:extent cx="985520" cy="429260"/>
          <wp:effectExtent l="0" t="0" r="5080" b="8255"/>
          <wp:wrapNone/>
          <wp:docPr id="3" name="图片 3" descr="R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RIC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5520" cy="429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楷体_GB2312" w:eastAsia="楷体_GB2312" w:hAnsiTheme="majorHAnsi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4402455</wp:posOffset>
          </wp:positionH>
          <wp:positionV relativeFrom="paragraph">
            <wp:posOffset>63500</wp:posOffset>
          </wp:positionV>
          <wp:extent cx="798830" cy="295275"/>
          <wp:effectExtent l="0" t="0" r="1270" b="9525"/>
          <wp:wrapSquare wrapText="bothSides"/>
          <wp:docPr id="2" name="图片 3" descr="中估联行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 descr="中估联行logo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8830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楷体_GB2312" w:eastAsia="楷体_GB2312"/>
        <w:sz w:val="21"/>
        <w:szCs w:val="21"/>
      </w:rPr>
      <w:t xml:space="preserve">   </w:t>
    </w:r>
    <w:r>
      <w:rPr>
        <w:rFonts w:hint="eastAsia" w:ascii="楷体_GB2312" w:eastAsia="楷体_GB2312"/>
      </w:rPr>
      <w:t xml:space="preserve">                                         </w:t>
    </w:r>
    <w:r>
      <w:rPr>
        <w:rFonts w:hint="eastAsia" w:ascii="楷体_GB2312" w:eastAsia="楷体_GB2312" w:hAnsiTheme="majorHAnsi"/>
      </w:rPr>
      <w:t xml:space="preserve">      </w:t>
    </w:r>
  </w:p>
  <w:p w14:paraId="2E369738">
    <w:pPr>
      <w:pStyle w:val="8"/>
      <w:pBdr>
        <w:top w:val="thinThickSmallGap" w:color="622423" w:themeColor="accent2" w:themeShade="7F" w:sz="24" w:space="1"/>
      </w:pBdr>
      <w:ind w:left="6867" w:hanging="6867" w:hangingChars="3800"/>
      <w:jc w:val="both"/>
      <w:rPr>
        <w:rFonts w:hint="eastAsia" w:ascii="楷体_GB2312" w:eastAsia="楷体_GB2312" w:hAnsiTheme="majorHAnsi"/>
        <w:lang w:val="en-US" w:eastAsia="zh-CN"/>
      </w:rPr>
    </w:pPr>
    <w:r>
      <w:rPr>
        <w:rFonts w:hint="eastAsia" w:ascii="楷体_GB2312" w:eastAsia="楷体_GB2312" w:hAnsiTheme="majorHAnsi"/>
        <w:b/>
      </w:rPr>
      <w:t xml:space="preserve"> </w:t>
    </w:r>
    <w:r>
      <w:rPr>
        <w:rFonts w:hint="eastAsia" w:ascii="楷体_GB2312" w:eastAsia="楷体_GB2312" w:hAnsiTheme="majorHAnsi"/>
        <w:b/>
      </w:rPr>
      <w:fldChar w:fldCharType="begin"/>
    </w:r>
    <w:r>
      <w:rPr>
        <w:rFonts w:hint="eastAsia" w:ascii="楷体_GB2312" w:eastAsia="楷体_GB2312" w:hAnsiTheme="majorHAnsi"/>
        <w:b/>
      </w:rPr>
      <w:instrText xml:space="preserve"> PAGE   \* MERGEFORMAT </w:instrText>
    </w:r>
    <w:r>
      <w:rPr>
        <w:rFonts w:hint="eastAsia" w:ascii="楷体_GB2312" w:eastAsia="楷体_GB2312" w:hAnsiTheme="majorHAnsi"/>
        <w:b/>
      </w:rPr>
      <w:fldChar w:fldCharType="separate"/>
    </w:r>
    <w:r>
      <w:rPr>
        <w:rFonts w:hint="eastAsia" w:ascii="楷体_GB2312" w:eastAsia="楷体_GB2312" w:hAnsiTheme="majorHAnsi"/>
        <w:b/>
        <w:lang w:val="zh-CN"/>
      </w:rPr>
      <w:t>-</w:t>
    </w:r>
    <w:r>
      <w:rPr>
        <w:rFonts w:hint="eastAsia" w:ascii="楷体_GB2312" w:eastAsia="楷体_GB2312" w:hAnsiTheme="majorHAnsi"/>
        <w:b/>
      </w:rPr>
      <w:t xml:space="preserve"> 2 -</w:t>
    </w:r>
    <w:r>
      <w:rPr>
        <w:rFonts w:hint="eastAsia" w:ascii="楷体_GB2312" w:eastAsia="楷体_GB2312" w:hAnsiTheme="majorHAnsi"/>
        <w:b/>
      </w:rPr>
      <w:fldChar w:fldCharType="end"/>
    </w:r>
    <w:r>
      <w:rPr>
        <w:rFonts w:hint="eastAsia" w:ascii="楷体_GB2312" w:eastAsia="楷体_GB2312" w:hAnsiTheme="majorHAnsi"/>
        <w:b/>
      </w:rPr>
      <w:t xml:space="preserve">  </w:t>
    </w:r>
    <w:r>
      <w:rPr>
        <w:rFonts w:hint="eastAsia" w:ascii="楷体_GB2312" w:eastAsia="楷体_GB2312" w:hAnsiTheme="majorHAnsi"/>
      </w:rPr>
      <w:t xml:space="preserve">                                                 </w:t>
    </w:r>
    <w:r>
      <w:rPr>
        <w:rFonts w:hint="eastAsia" w:ascii="楷体_GB2312" w:eastAsia="楷体_GB2312" w:hAnsiTheme="majorHAnsi"/>
        <w:lang w:val="en-US" w:eastAsia="zh-CN"/>
      </w:rPr>
      <w:t xml:space="preserve">               </w:t>
    </w:r>
  </w:p>
  <w:p w14:paraId="52E57961">
    <w:pPr>
      <w:pStyle w:val="8"/>
      <w:pBdr>
        <w:top w:val="thinThickSmallGap" w:color="622423" w:themeColor="accent2" w:themeShade="7F" w:sz="24" w:space="1"/>
      </w:pBdr>
      <w:ind w:left="6867" w:hanging="6840" w:hangingChars="3800"/>
      <w:jc w:val="both"/>
      <w:rPr>
        <w:rFonts w:hint="eastAsia" w:ascii="楷体_GB2312" w:eastAsia="楷体_GB2312" w:hAnsiTheme="majorHAnsi"/>
      </w:rPr>
    </w:pPr>
    <w:r>
      <w:rPr>
        <w:rFonts w:hint="eastAsia" w:ascii="楷体_GB2312" w:eastAsia="楷体_GB2312" w:hAnsiTheme="majorHAnsi"/>
        <w:lang w:val="en-US" w:eastAsia="zh-CN"/>
      </w:rPr>
      <w:t xml:space="preserve">                              </w:t>
    </w:r>
    <w:r>
      <w:rPr>
        <w:rFonts w:hint="eastAsia" w:ascii="楷体_GB2312" w:eastAsia="楷体_GB2312" w:hAnsiTheme="majorHAnsi"/>
      </w:rPr>
      <w:t xml:space="preserve">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2CC3C4">
    <w:pPr>
      <w:pStyle w:val="9"/>
      <w:pBdr>
        <w:bottom w:val="single" w:color="auto" w:sz="6" w:space="8"/>
      </w:pBdr>
      <w:jc w:val="both"/>
      <w:rPr>
        <w:rFonts w:hint="eastAsia" w:ascii="楷体_GB2312" w:eastAsia="楷体_GB2312"/>
        <w:b/>
        <w:sz w:val="21"/>
        <w:szCs w:val="21"/>
      </w:rPr>
    </w:pPr>
    <w:r>
      <w:rPr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drawing>
        <wp:inline distT="0" distB="0" distL="114300" distR="114300">
          <wp:extent cx="1320165" cy="370205"/>
          <wp:effectExtent l="0" t="0" r="13335" b="11430"/>
          <wp:docPr id="1" name="图片 1" descr="d2a6956ecc908f2be702ddfc7f717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d2a6956ecc908f2be702ddfc7f717e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0165" cy="370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楷体_GB2312" w:eastAsia="楷体_GB2312"/>
      </w:rPr>
      <w:t xml:space="preserve">    </w:t>
    </w:r>
    <w:r>
      <w:rPr>
        <w:rFonts w:hint="eastAsia" w:ascii="楷体_GB2312" w:eastAsia="楷体_GB2312"/>
        <w:sz w:val="28"/>
        <w:szCs w:val="28"/>
      </w:rPr>
      <w:t>----</w:t>
    </w:r>
    <w:r>
      <w:rPr>
        <w:rFonts w:hint="eastAsia" w:ascii="楷体_GB2312" w:eastAsia="楷体_GB2312"/>
        <w:b/>
        <w:sz w:val="24"/>
        <w:szCs w:val="24"/>
      </w:rPr>
      <w:t>为客户提供有价值的专业意见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62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zBlNWFhMTkxOTJlODVjMTQ0MDAwNTIzNDhmZTVmMTgifQ=="/>
  </w:docVars>
  <w:rsids>
    <w:rsidRoot w:val="00831869"/>
    <w:rsid w:val="00034B4C"/>
    <w:rsid w:val="00061EE8"/>
    <w:rsid w:val="00062E07"/>
    <w:rsid w:val="0010470C"/>
    <w:rsid w:val="0013608F"/>
    <w:rsid w:val="00213A08"/>
    <w:rsid w:val="00256998"/>
    <w:rsid w:val="002917E0"/>
    <w:rsid w:val="002B5B6D"/>
    <w:rsid w:val="003C2B7A"/>
    <w:rsid w:val="003D614F"/>
    <w:rsid w:val="004910C6"/>
    <w:rsid w:val="004A518D"/>
    <w:rsid w:val="0055298A"/>
    <w:rsid w:val="005B68B1"/>
    <w:rsid w:val="006300A3"/>
    <w:rsid w:val="0070149B"/>
    <w:rsid w:val="00792F06"/>
    <w:rsid w:val="00823E23"/>
    <w:rsid w:val="00831869"/>
    <w:rsid w:val="008E43C4"/>
    <w:rsid w:val="009233CF"/>
    <w:rsid w:val="009270C2"/>
    <w:rsid w:val="00AF4927"/>
    <w:rsid w:val="00B11F98"/>
    <w:rsid w:val="00B54299"/>
    <w:rsid w:val="00B719AF"/>
    <w:rsid w:val="00BD7E57"/>
    <w:rsid w:val="00C474CF"/>
    <w:rsid w:val="00D77078"/>
    <w:rsid w:val="00E825E9"/>
    <w:rsid w:val="00F067BB"/>
    <w:rsid w:val="00FE4BD1"/>
    <w:rsid w:val="01350C98"/>
    <w:rsid w:val="01F203F1"/>
    <w:rsid w:val="02D1124A"/>
    <w:rsid w:val="04C56857"/>
    <w:rsid w:val="066D2A1C"/>
    <w:rsid w:val="087D1CE6"/>
    <w:rsid w:val="09811271"/>
    <w:rsid w:val="0B8F257A"/>
    <w:rsid w:val="0BFA210C"/>
    <w:rsid w:val="0F366C7B"/>
    <w:rsid w:val="10DC7BB8"/>
    <w:rsid w:val="11EA10ED"/>
    <w:rsid w:val="11F24D5E"/>
    <w:rsid w:val="12954B16"/>
    <w:rsid w:val="13626CC3"/>
    <w:rsid w:val="1393460B"/>
    <w:rsid w:val="14427D8F"/>
    <w:rsid w:val="15091928"/>
    <w:rsid w:val="15101B10"/>
    <w:rsid w:val="15156062"/>
    <w:rsid w:val="15B7018E"/>
    <w:rsid w:val="171B442F"/>
    <w:rsid w:val="190E1424"/>
    <w:rsid w:val="19A41D02"/>
    <w:rsid w:val="1AC06352"/>
    <w:rsid w:val="1AEA2461"/>
    <w:rsid w:val="1EE91F45"/>
    <w:rsid w:val="20F0471A"/>
    <w:rsid w:val="22BE7E20"/>
    <w:rsid w:val="267A791E"/>
    <w:rsid w:val="27076EF2"/>
    <w:rsid w:val="271F167B"/>
    <w:rsid w:val="2B4E17C8"/>
    <w:rsid w:val="2B8A552A"/>
    <w:rsid w:val="2CF45DD9"/>
    <w:rsid w:val="2E184AB2"/>
    <w:rsid w:val="2E226B49"/>
    <w:rsid w:val="2E5F3B32"/>
    <w:rsid w:val="2EDA313F"/>
    <w:rsid w:val="309449FC"/>
    <w:rsid w:val="30E86C03"/>
    <w:rsid w:val="32AE2926"/>
    <w:rsid w:val="32BF2F96"/>
    <w:rsid w:val="33352DD5"/>
    <w:rsid w:val="36496B80"/>
    <w:rsid w:val="39BF13CB"/>
    <w:rsid w:val="3A685AA2"/>
    <w:rsid w:val="3A9362B0"/>
    <w:rsid w:val="3ABA2919"/>
    <w:rsid w:val="3B180426"/>
    <w:rsid w:val="3CA27AE2"/>
    <w:rsid w:val="3D186682"/>
    <w:rsid w:val="3DA424C8"/>
    <w:rsid w:val="3DAD3302"/>
    <w:rsid w:val="3EC102E9"/>
    <w:rsid w:val="42FF2E20"/>
    <w:rsid w:val="46980769"/>
    <w:rsid w:val="4721033D"/>
    <w:rsid w:val="47825C89"/>
    <w:rsid w:val="47BB64B4"/>
    <w:rsid w:val="47E15A4E"/>
    <w:rsid w:val="48E65ADF"/>
    <w:rsid w:val="492B52D4"/>
    <w:rsid w:val="498E19FE"/>
    <w:rsid w:val="49C52D63"/>
    <w:rsid w:val="4A8D1BAA"/>
    <w:rsid w:val="4B032116"/>
    <w:rsid w:val="4C3A7C15"/>
    <w:rsid w:val="4C7D71E6"/>
    <w:rsid w:val="4C8A7D8A"/>
    <w:rsid w:val="4D336D38"/>
    <w:rsid w:val="4DEE1949"/>
    <w:rsid w:val="4EB54C4E"/>
    <w:rsid w:val="51FC19C4"/>
    <w:rsid w:val="52D01FDF"/>
    <w:rsid w:val="53B85EF6"/>
    <w:rsid w:val="544C264F"/>
    <w:rsid w:val="54554E16"/>
    <w:rsid w:val="54CA3491"/>
    <w:rsid w:val="55A7251C"/>
    <w:rsid w:val="56AD6889"/>
    <w:rsid w:val="586C6C48"/>
    <w:rsid w:val="58DD0B3D"/>
    <w:rsid w:val="59D23D81"/>
    <w:rsid w:val="5B2534A8"/>
    <w:rsid w:val="5B4710A3"/>
    <w:rsid w:val="5BD20597"/>
    <w:rsid w:val="5CC051D5"/>
    <w:rsid w:val="5FDE1325"/>
    <w:rsid w:val="62E24FD4"/>
    <w:rsid w:val="65341CDD"/>
    <w:rsid w:val="65870800"/>
    <w:rsid w:val="65880C0A"/>
    <w:rsid w:val="67262A27"/>
    <w:rsid w:val="69EE10EC"/>
    <w:rsid w:val="6A8A41AB"/>
    <w:rsid w:val="6B286BD0"/>
    <w:rsid w:val="6B3F4085"/>
    <w:rsid w:val="6D512CD7"/>
    <w:rsid w:val="6E401820"/>
    <w:rsid w:val="70A56FC6"/>
    <w:rsid w:val="71217A05"/>
    <w:rsid w:val="726A2B3A"/>
    <w:rsid w:val="730C532F"/>
    <w:rsid w:val="736E08A2"/>
    <w:rsid w:val="7566379D"/>
    <w:rsid w:val="766E0AB1"/>
    <w:rsid w:val="786D5645"/>
    <w:rsid w:val="79230856"/>
    <w:rsid w:val="7A2739E1"/>
    <w:rsid w:val="7B1C585C"/>
    <w:rsid w:val="7BF420E8"/>
    <w:rsid w:val="7D6D41F8"/>
    <w:rsid w:val="7E073A89"/>
    <w:rsid w:val="7EA1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unhideWhenUsed/>
    <w:qFormat/>
    <w:uiPriority w:val="99"/>
    <w:pPr>
      <w:spacing w:after="120" w:afterLines="0"/>
      <w:ind w:left="420" w:leftChars="200"/>
    </w:pPr>
  </w:style>
  <w:style w:type="paragraph" w:styleId="6">
    <w:name w:val="Plain Text"/>
    <w:basedOn w:val="1"/>
    <w:unhideWhenUsed/>
    <w:qFormat/>
    <w:uiPriority w:val="99"/>
    <w:pPr>
      <w:adjustRightInd w:val="0"/>
      <w:spacing w:line="360" w:lineRule="atLeast"/>
      <w:textAlignment w:val="baseline"/>
    </w:pPr>
    <w:rPr>
      <w:rFonts w:ascii="宋体" w:hAnsi="Courier New" w:eastAsia="宋体"/>
      <w:kern w:val="2"/>
      <w:sz w:val="21"/>
      <w:lang w:val="en-US" w:eastAsia="zh-CN" w:bidi="ar-SA"/>
    </w:r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Hyperlink"/>
    <w:basedOn w:val="14"/>
    <w:semiHidden/>
    <w:unhideWhenUsed/>
    <w:qFormat/>
    <w:uiPriority w:val="99"/>
    <w:rPr>
      <w:color w:val="0000FF"/>
      <w:u w:val="single"/>
    </w:rPr>
  </w:style>
  <w:style w:type="character" w:customStyle="1" w:styleId="17">
    <w:name w:val="页眉 Char"/>
    <w:basedOn w:val="14"/>
    <w:link w:val="9"/>
    <w:qFormat/>
    <w:uiPriority w:val="99"/>
    <w:rPr>
      <w:sz w:val="18"/>
      <w:szCs w:val="18"/>
    </w:rPr>
  </w:style>
  <w:style w:type="character" w:customStyle="1" w:styleId="18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19">
    <w:name w:val="批注框文本 Char"/>
    <w:basedOn w:val="14"/>
    <w:link w:val="7"/>
    <w:semiHidden/>
    <w:qFormat/>
    <w:uiPriority w:val="99"/>
    <w:rPr>
      <w:sz w:val="18"/>
      <w:szCs w:val="18"/>
    </w:rPr>
  </w:style>
  <w:style w:type="paragraph" w:customStyle="1" w:styleId="20">
    <w:name w:val="No Spacing"/>
    <w:link w:val="21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1">
    <w:name w:val="无间隔 Char"/>
    <w:basedOn w:val="14"/>
    <w:link w:val="20"/>
    <w:qFormat/>
    <w:uiPriority w:val="1"/>
    <w:rPr>
      <w:kern w:val="0"/>
      <w:sz w:val="22"/>
    </w:rPr>
  </w:style>
  <w:style w:type="paragraph" w:customStyle="1" w:styleId="22">
    <w:name w:val="样式 左侧:  0.74 厘米1"/>
    <w:basedOn w:val="1"/>
    <w:qFormat/>
    <w:uiPriority w:val="0"/>
    <w:pPr>
      <w:ind w:left="620" w:hanging="200" w:hangingChars="200"/>
    </w:pPr>
  </w:style>
  <w:style w:type="paragraph" w:customStyle="1" w:styleId="23">
    <w:name w:val="样式 左侧:  0.74 厘米"/>
    <w:basedOn w:val="1"/>
    <w:qFormat/>
    <w:uiPriority w:val="0"/>
    <w:pPr>
      <w:ind w:left="620" w:hanging="200" w:hangingChars="200"/>
    </w:pPr>
  </w:style>
  <w:style w:type="paragraph" w:customStyle="1" w:styleId="24">
    <w:name w:val="List Paragraph"/>
    <w:basedOn w:val="1"/>
    <w:qFormat/>
    <w:uiPriority w:val="34"/>
    <w:pPr>
      <w:ind w:firstLine="420" w:firstLineChars="200"/>
    </w:pPr>
  </w:style>
  <w:style w:type="character" w:customStyle="1" w:styleId="25">
    <w:name w:val="font51"/>
    <w:basedOn w:val="14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26">
    <w:name w:val="font61"/>
    <w:basedOn w:val="14"/>
    <w:qFormat/>
    <w:uiPriority w:val="0"/>
    <w:rPr>
      <w:rFonts w:ascii="Arial" w:hAnsi="Arial" w:cs="Arial"/>
      <w:b/>
      <w:bCs/>
      <w:color w:val="000000"/>
      <w:sz w:val="22"/>
      <w:szCs w:val="22"/>
      <w:u w:val="none"/>
    </w:rPr>
  </w:style>
  <w:style w:type="character" w:customStyle="1" w:styleId="27">
    <w:name w:val="font21"/>
    <w:basedOn w:val="14"/>
    <w:qFormat/>
    <w:uiPriority w:val="0"/>
    <w:rPr>
      <w:rFonts w:hint="eastAsia" w:ascii="等线" w:hAnsi="等线" w:eastAsia="等线" w:cs="等线"/>
      <w:b/>
      <w:bCs/>
      <w:color w:val="000000"/>
      <w:sz w:val="22"/>
      <w:szCs w:val="22"/>
      <w:u w:val="none"/>
    </w:rPr>
  </w:style>
  <w:style w:type="character" w:customStyle="1" w:styleId="28">
    <w:name w:val="font41"/>
    <w:basedOn w:val="14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7A9934D-860C-48CC-8D6C-17926C41BA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地址：杭州市上城区庆春路159号中河大厦702室                                                              </Company>
  <Pages>17</Pages>
  <Words>4270</Words>
  <Characters>4687</Characters>
  <Lines>1</Lines>
  <Paragraphs>1</Paragraphs>
  <TotalTime>0</TotalTime>
  <ScaleCrop>false</ScaleCrop>
  <LinksUpToDate>false</LinksUpToDate>
  <CharactersWithSpaces>4788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2017-08-11T09:48:00Z</dcterms:created>
  <dc:creator>lenovo</dc:creator>
  <cp:lastModifiedBy>小新</cp:lastModifiedBy>
  <cp:lastPrinted>2018-10-17T07:59:00Z</cp:lastPrinted>
  <dcterms:modified xsi:type="dcterms:W3CDTF">2026-08-19T08:19:49Z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41510497B20B4D01A3BD9DCEB1E82991</vt:lpwstr>
  </property>
  <property fmtid="{D5CDD505-2E9C-101B-9397-08002B2CF9AE}" pid="4" name="KSOTemplateDocerSaveRecord">
    <vt:lpwstr>eyJoZGlkIjoiMDI0OGJhNzBiNDMyNWVlNTlmYTU1ZjNmMjRkNzk0ZDYiLCJ1c2VySWQiOiI0MjY5NTE5NTUifQ==</vt:lpwstr>
  </property>
</Properties>
</file>